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30" w:rsidRPr="000F0C30" w:rsidRDefault="000F0C30" w:rsidP="000F0C30">
      <w:pPr>
        <w:rPr>
          <w:b/>
        </w:rPr>
      </w:pPr>
      <w:r w:rsidRPr="000F0C30">
        <w:rPr>
          <w:b/>
        </w:rPr>
        <w:t>Annex d’instruccions per a respondre a aquest requeriment:</w:t>
      </w:r>
    </w:p>
    <w:p w:rsidR="000F0C30" w:rsidRPr="000F0C30" w:rsidRDefault="000F0C30" w:rsidP="000F0C30">
      <w:pPr>
        <w:rPr>
          <w:sz w:val="16"/>
          <w:szCs w:val="16"/>
        </w:rPr>
      </w:pPr>
      <w:r w:rsidRPr="000F0C30">
        <w:rPr>
          <w:sz w:val="16"/>
          <w:szCs w:val="16"/>
        </w:rPr>
        <w:t>Formulari pel document 3</w:t>
      </w:r>
    </w:p>
    <w:p w:rsidR="000F0C30" w:rsidRPr="000F0C30" w:rsidRDefault="000F0C30" w:rsidP="000F0C30">
      <w:pPr>
        <w:rPr>
          <w:sz w:val="16"/>
          <w:szCs w:val="16"/>
        </w:rPr>
      </w:pPr>
      <w:r w:rsidRPr="000F0C30">
        <w:rPr>
          <w:sz w:val="16"/>
          <w:szCs w:val="16"/>
        </w:rPr>
        <w:t>Mitjans materials preceptius. Empresa instal·ladora de nivell 2</w:t>
      </w:r>
    </w:p>
    <w:tbl>
      <w:tblPr>
        <w:tblW w:w="9850" w:type="dxa"/>
        <w:tblCellMar>
          <w:left w:w="70" w:type="dxa"/>
          <w:right w:w="70" w:type="dxa"/>
        </w:tblCellMar>
        <w:tblLook w:val="04A0" w:firstRow="1" w:lastRow="0" w:firstColumn="1" w:lastColumn="0" w:noHBand="0" w:noVBand="1"/>
      </w:tblPr>
      <w:tblGrid>
        <w:gridCol w:w="5032"/>
        <w:gridCol w:w="850"/>
        <w:gridCol w:w="1559"/>
        <w:gridCol w:w="1276"/>
        <w:gridCol w:w="1133"/>
      </w:tblGrid>
      <w:tr w:rsidR="000F0C30" w:rsidRPr="000F0C30" w:rsidTr="00072F56">
        <w:trPr>
          <w:trHeight w:val="300"/>
        </w:trPr>
        <w:tc>
          <w:tcPr>
            <w:tcW w:w="5032" w:type="dxa"/>
            <w:tcBorders>
              <w:top w:val="single" w:sz="4" w:space="0" w:color="auto"/>
              <w:left w:val="single" w:sz="4" w:space="0" w:color="auto"/>
              <w:bottom w:val="nil"/>
              <w:right w:val="single" w:sz="4" w:space="0" w:color="000000"/>
            </w:tcBorders>
            <w:shd w:val="clear" w:color="auto" w:fill="DEEAF6"/>
            <w:noWrap/>
            <w:vAlign w:val="bottom"/>
            <w:hideMark/>
          </w:tcPr>
          <w:p w:rsidR="000F0C30" w:rsidRPr="000F0C30" w:rsidRDefault="000F0C30" w:rsidP="000F0C30">
            <w:pPr>
              <w:rPr>
                <w:sz w:val="16"/>
                <w:szCs w:val="16"/>
              </w:rPr>
            </w:pPr>
            <w:r w:rsidRPr="000F0C30">
              <w:rPr>
                <w:sz w:val="16"/>
                <w:szCs w:val="16"/>
              </w:rPr>
              <w:t>ITEM</w:t>
            </w:r>
          </w:p>
        </w:tc>
        <w:tc>
          <w:tcPr>
            <w:tcW w:w="850" w:type="dxa"/>
            <w:tcBorders>
              <w:top w:val="single" w:sz="4" w:space="0" w:color="auto"/>
              <w:left w:val="single" w:sz="4" w:space="0" w:color="auto"/>
              <w:bottom w:val="nil"/>
              <w:right w:val="single" w:sz="4" w:space="0" w:color="000000"/>
            </w:tcBorders>
            <w:shd w:val="clear" w:color="auto" w:fill="DEEAF6"/>
          </w:tcPr>
          <w:p w:rsidR="000F0C30" w:rsidRPr="000F0C30" w:rsidRDefault="000F0C30" w:rsidP="000F0C30">
            <w:pPr>
              <w:rPr>
                <w:sz w:val="16"/>
                <w:szCs w:val="16"/>
              </w:rPr>
            </w:pPr>
            <w:r w:rsidRPr="000F0C30">
              <w:rPr>
                <w:sz w:val="16"/>
                <w:szCs w:val="16"/>
              </w:rPr>
              <w:t>Número d’aparells</w:t>
            </w:r>
          </w:p>
        </w:tc>
        <w:tc>
          <w:tcPr>
            <w:tcW w:w="1559" w:type="dxa"/>
            <w:tcBorders>
              <w:top w:val="single" w:sz="4" w:space="0" w:color="auto"/>
              <w:left w:val="single" w:sz="4" w:space="0" w:color="auto"/>
              <w:bottom w:val="nil"/>
              <w:right w:val="single" w:sz="4" w:space="0" w:color="auto"/>
            </w:tcBorders>
            <w:shd w:val="clear" w:color="auto" w:fill="DEEAF6"/>
          </w:tcPr>
          <w:p w:rsidR="000F0C30" w:rsidRPr="000F0C30" w:rsidRDefault="000F0C30" w:rsidP="000F0C30">
            <w:pPr>
              <w:rPr>
                <w:sz w:val="16"/>
                <w:szCs w:val="16"/>
              </w:rPr>
            </w:pPr>
            <w:r w:rsidRPr="000F0C30">
              <w:rPr>
                <w:sz w:val="16"/>
                <w:szCs w:val="16"/>
              </w:rPr>
              <w:t>Marca</w:t>
            </w:r>
          </w:p>
        </w:tc>
        <w:tc>
          <w:tcPr>
            <w:tcW w:w="1276" w:type="dxa"/>
            <w:tcBorders>
              <w:top w:val="single" w:sz="4" w:space="0" w:color="auto"/>
              <w:left w:val="single" w:sz="4" w:space="0" w:color="auto"/>
              <w:bottom w:val="nil"/>
              <w:right w:val="single" w:sz="4" w:space="0" w:color="auto"/>
            </w:tcBorders>
            <w:shd w:val="clear" w:color="auto" w:fill="DEEAF6"/>
          </w:tcPr>
          <w:p w:rsidR="000F0C30" w:rsidRPr="000F0C30" w:rsidRDefault="000F0C30" w:rsidP="000F0C30">
            <w:pPr>
              <w:rPr>
                <w:sz w:val="16"/>
                <w:szCs w:val="16"/>
              </w:rPr>
            </w:pPr>
            <w:r w:rsidRPr="000F0C30">
              <w:rPr>
                <w:sz w:val="16"/>
                <w:szCs w:val="16"/>
              </w:rPr>
              <w:t>Model</w:t>
            </w:r>
          </w:p>
        </w:tc>
        <w:tc>
          <w:tcPr>
            <w:tcW w:w="1133" w:type="dxa"/>
            <w:tcBorders>
              <w:top w:val="single" w:sz="4" w:space="0" w:color="auto"/>
              <w:left w:val="single" w:sz="4" w:space="0" w:color="auto"/>
              <w:bottom w:val="nil"/>
              <w:right w:val="single" w:sz="4" w:space="0" w:color="000000"/>
            </w:tcBorders>
            <w:shd w:val="clear" w:color="auto" w:fill="DEEAF6"/>
          </w:tcPr>
          <w:p w:rsidR="000F0C30" w:rsidRPr="000F0C30" w:rsidRDefault="000F0C30" w:rsidP="000F0C30">
            <w:pPr>
              <w:rPr>
                <w:sz w:val="16"/>
                <w:szCs w:val="16"/>
              </w:rPr>
            </w:pPr>
            <w:r w:rsidRPr="000F0C30">
              <w:rPr>
                <w:sz w:val="16"/>
                <w:szCs w:val="16"/>
              </w:rPr>
              <w:t>Número de sèrie</w:t>
            </w:r>
          </w:p>
        </w:tc>
      </w:tr>
      <w:tr w:rsidR="000F0C30" w:rsidRPr="000F0C30" w:rsidTr="00072F56">
        <w:trPr>
          <w:trHeight w:val="300"/>
        </w:trPr>
        <w:tc>
          <w:tcPr>
            <w:tcW w:w="9850" w:type="dxa"/>
            <w:gridSpan w:val="5"/>
            <w:tcBorders>
              <w:top w:val="single" w:sz="4" w:space="0" w:color="auto"/>
              <w:left w:val="single" w:sz="4" w:space="0" w:color="auto"/>
              <w:bottom w:val="nil"/>
              <w:right w:val="single" w:sz="4" w:space="0" w:color="000000"/>
            </w:tcBorders>
            <w:shd w:val="clear" w:color="auto" w:fill="FFE599"/>
            <w:noWrap/>
            <w:vAlign w:val="bottom"/>
          </w:tcPr>
          <w:p w:rsidR="000F0C30" w:rsidRPr="000F0C30" w:rsidRDefault="000F0C30" w:rsidP="000F0C30">
            <w:pPr>
              <w:rPr>
                <w:sz w:val="16"/>
                <w:szCs w:val="16"/>
              </w:rPr>
            </w:pPr>
            <w:r w:rsidRPr="000F0C30">
              <w:rPr>
                <w:sz w:val="16"/>
                <w:szCs w:val="16"/>
              </w:rPr>
              <w:t>a) Per empresa frigorista</w:t>
            </w:r>
            <w:r w:rsidR="001036A3">
              <w:rPr>
                <w:sz w:val="16"/>
                <w:szCs w:val="16"/>
              </w:rPr>
              <w:t xml:space="preserve"> (si)</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1. Manòmetre contrastat.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2. Termòmetre contrastat.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3. Sonòmetre que compleixi el que disposa el Reial decret 889/2006, de 21 de juliol, pel qual es regula el control metrològic de l'Estat sobre instruments de mesura.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4. Mesurador de vibracions per a instal·lacions amb compressors oberts de potència instal·lada unitària superior a 50 kW.</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nil"/>
              <w:right w:val="single" w:sz="4" w:space="0" w:color="000000"/>
            </w:tcBorders>
            <w:shd w:val="clear" w:color="auto" w:fill="FFE599"/>
            <w:noWrap/>
            <w:vAlign w:val="bottom"/>
          </w:tcPr>
          <w:p w:rsidR="000F0C30" w:rsidRPr="000F0C30" w:rsidRDefault="000F0C30" w:rsidP="000F0C30">
            <w:pPr>
              <w:rPr>
                <w:sz w:val="16"/>
                <w:szCs w:val="16"/>
              </w:rPr>
            </w:pPr>
            <w:r w:rsidRPr="000F0C30">
              <w:rPr>
                <w:sz w:val="16"/>
                <w:szCs w:val="16"/>
              </w:rPr>
              <w:t>b) Per al centre de treball</w:t>
            </w:r>
            <w:r w:rsidR="001036A3">
              <w:rPr>
                <w:sz w:val="16"/>
                <w:szCs w:val="16"/>
              </w:rPr>
              <w:t xml:space="preserve"> (si)</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1. Higròmetre (precisió ± 5 %).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2. Equip de tràfec de refrigerants.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3. Equip bàsic de recuperació de refrigerants.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4. Equip dosificador per carregar circuits d'instal·lacions de menys de 3 kg de càrrega de refrigerant.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5. Bàscula de càrrega per a instal·lacions de menys de 25 kg.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6. Anemòmetre.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7. Estenalles per a precinte.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8. Joc de senyalitzadors normalitzats per col·locar a les canonades corresponents.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9. Equip per a la neteja de bateries evaporadors i condensadores, així com els líquids adequats per fer-ho.</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10. Equip de respiració autònoma.</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nil"/>
              <w:right w:val="single" w:sz="4" w:space="0" w:color="000000"/>
            </w:tcBorders>
            <w:shd w:val="clear" w:color="auto" w:fill="FFE599"/>
            <w:noWrap/>
            <w:vAlign w:val="bottom"/>
          </w:tcPr>
          <w:p w:rsidR="000F0C30" w:rsidRPr="000F0C30" w:rsidRDefault="000F0C30" w:rsidP="000F0C30">
            <w:pPr>
              <w:rPr>
                <w:sz w:val="16"/>
                <w:szCs w:val="16"/>
              </w:rPr>
            </w:pPr>
            <w:r w:rsidRPr="000F0C30">
              <w:rPr>
                <w:sz w:val="16"/>
                <w:szCs w:val="16"/>
              </w:rPr>
              <w:t>c) Per a cada professional</w:t>
            </w:r>
            <w:r w:rsidR="001036A3">
              <w:rPr>
                <w:sz w:val="16"/>
                <w:szCs w:val="16"/>
              </w:rPr>
              <w:t xml:space="preserve"> (si)</w:t>
            </w:r>
          </w:p>
        </w:tc>
      </w:tr>
      <w:tr w:rsidR="000F0C30" w:rsidRPr="000F0C30" w:rsidTr="00072F56">
        <w:trPr>
          <w:trHeight w:val="300"/>
        </w:trPr>
        <w:tc>
          <w:tcPr>
            <w:tcW w:w="5032" w:type="dxa"/>
            <w:tcBorders>
              <w:top w:val="single" w:sz="4" w:space="0" w:color="auto"/>
              <w:left w:val="single" w:sz="4" w:space="0" w:color="auto"/>
              <w:bottom w:val="nil"/>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xml:space="preserve">1. Termòmetre (precisió ± 0,5 %) amb sondes d'ambient, contacte i d'immersió o penetració. </w:t>
            </w:r>
          </w:p>
        </w:tc>
        <w:tc>
          <w:tcPr>
            <w:tcW w:w="850"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nil"/>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xml:space="preserve">2. Joc d'eines, en bones condicions i que inclogui almenys </w:t>
            </w:r>
          </w:p>
        </w:tc>
        <w:tc>
          <w:tcPr>
            <w:tcW w:w="850"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r>
      <w:tr w:rsidR="000F0C30" w:rsidRPr="000F0C30" w:rsidTr="00072F56">
        <w:trPr>
          <w:trHeight w:val="125"/>
        </w:trPr>
        <w:tc>
          <w:tcPr>
            <w:tcW w:w="5032" w:type="dxa"/>
            <w:tcBorders>
              <w:top w:val="single" w:sz="4" w:space="0" w:color="auto"/>
              <w:left w:val="single" w:sz="4" w:space="0" w:color="auto"/>
              <w:bottom w:val="nil"/>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Talla tubs.</w:t>
            </w:r>
          </w:p>
        </w:tc>
        <w:tc>
          <w:tcPr>
            <w:tcW w:w="850"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r>
      <w:tr w:rsidR="000F0C30" w:rsidRPr="000F0C30" w:rsidTr="00072F56">
        <w:trPr>
          <w:trHeight w:val="127"/>
        </w:trPr>
        <w:tc>
          <w:tcPr>
            <w:tcW w:w="5032" w:type="dxa"/>
            <w:tcBorders>
              <w:top w:val="single" w:sz="4" w:space="0" w:color="auto"/>
              <w:left w:val="single" w:sz="4" w:space="0" w:color="auto"/>
              <w:bottom w:val="nil"/>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xml:space="preserve">- Esbocador. </w:t>
            </w:r>
          </w:p>
        </w:tc>
        <w:tc>
          <w:tcPr>
            <w:tcW w:w="850"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r>
      <w:tr w:rsidR="000F0C30" w:rsidRPr="000F0C30" w:rsidTr="00072F56">
        <w:trPr>
          <w:trHeight w:val="200"/>
        </w:trPr>
        <w:tc>
          <w:tcPr>
            <w:tcW w:w="5032" w:type="dxa"/>
            <w:tcBorders>
              <w:top w:val="single" w:sz="4" w:space="0" w:color="auto"/>
              <w:left w:val="single" w:sz="4" w:space="0" w:color="auto"/>
              <w:bottom w:val="single" w:sz="4" w:space="0" w:color="auto"/>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Joc de claus fixes.</w:t>
            </w:r>
          </w:p>
        </w:tc>
        <w:tc>
          <w:tcPr>
            <w:tcW w:w="850" w:type="dxa"/>
            <w:tcBorders>
              <w:top w:val="single" w:sz="4" w:space="0" w:color="auto"/>
              <w:left w:val="single" w:sz="4" w:space="0" w:color="auto"/>
              <w:bottom w:val="single" w:sz="4" w:space="0" w:color="auto"/>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000000"/>
            </w:tcBorders>
          </w:tcPr>
          <w:p w:rsidR="000F0C30" w:rsidRPr="000F0C30" w:rsidRDefault="000F0C30" w:rsidP="000F0C30">
            <w:pPr>
              <w:rPr>
                <w:sz w:val="16"/>
                <w:szCs w:val="16"/>
              </w:rPr>
            </w:pPr>
          </w:p>
        </w:tc>
      </w:tr>
      <w:tr w:rsidR="000F0C30" w:rsidRPr="000F0C30" w:rsidTr="00072F56">
        <w:trPr>
          <w:trHeight w:val="156"/>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 Clau de carraca, reversible, amb el seu joc complet.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179"/>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 Clau dinamomètrica.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139"/>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 Mandrí de tubs.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227"/>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 Alicates.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118"/>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Joc de tornavisos.</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Analitzador (pont de manòmetre) adequat per als gasos a manipular.</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254"/>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 Pinta per redreçar aletes.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 Mànegues flexibles per a la connexió i càrrega de refrigerant.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3. Equip de mesura de voltatge, amperatge i resistència.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4. Equips de protecció individual adequats a la feina a realitzar.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5. Màscares de respiració amb cartutxos filtrants (treballs amb R-717).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0F0C30" w:rsidRPr="000F0C30" w:rsidRDefault="000F0C30" w:rsidP="000F0C30">
            <w:pPr>
              <w:rPr>
                <w:sz w:val="16"/>
                <w:szCs w:val="16"/>
              </w:rPr>
            </w:pPr>
            <w:r w:rsidRPr="000F0C30">
              <w:rPr>
                <w:sz w:val="16"/>
                <w:szCs w:val="16"/>
              </w:rPr>
              <w:t xml:space="preserve">d) Per cada cinc frigoristes/posada en marxa: </w:t>
            </w:r>
            <w:r w:rsidR="001036A3">
              <w:rPr>
                <w:sz w:val="16"/>
                <w:szCs w:val="16"/>
              </w:rPr>
              <w:t>(si)</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1. Vacuòmetre de precisió.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2. Bomba de buit de doble efecte.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3. Detector portàtil de fugues.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rsidR="000F0C30" w:rsidRPr="000F0C30" w:rsidRDefault="000F0C30" w:rsidP="000F0C30">
            <w:pPr>
              <w:rPr>
                <w:sz w:val="16"/>
                <w:szCs w:val="16"/>
              </w:rPr>
            </w:pPr>
            <w:r w:rsidRPr="000F0C30">
              <w:rPr>
                <w:sz w:val="16"/>
                <w:szCs w:val="16"/>
              </w:rPr>
              <w:lastRenderedPageBreak/>
              <w:t>4. Equip de mesura d'acidesa.</w:t>
            </w:r>
          </w:p>
          <w:p w:rsidR="000F0C30" w:rsidRPr="000F0C30" w:rsidRDefault="000F0C30" w:rsidP="000F0C30">
            <w:pPr>
              <w:rPr>
                <w:sz w:val="16"/>
                <w:szCs w:val="16"/>
              </w:rPr>
            </w:pPr>
          </w:p>
          <w:p w:rsidR="000F0C30" w:rsidRPr="000F0C30" w:rsidRDefault="000F0C30" w:rsidP="000F0C30">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0F0C30" w:rsidRPr="000F0C30" w:rsidRDefault="000F0C30" w:rsidP="000F0C30">
            <w:pPr>
              <w:rPr>
                <w:sz w:val="16"/>
                <w:szCs w:val="16"/>
              </w:rPr>
            </w:pPr>
            <w:r w:rsidRPr="000F0C30">
              <w:rPr>
                <w:sz w:val="16"/>
                <w:szCs w:val="16"/>
              </w:rPr>
              <w:t xml:space="preserve">e) Eines especials per refrigerants inflamables**: </w:t>
            </w:r>
            <w:r w:rsidR="001036A3">
              <w:rPr>
                <w:sz w:val="16"/>
                <w:szCs w:val="16"/>
              </w:rPr>
              <w:t>(no)</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C5E0B3"/>
            <w:noWrap/>
            <w:vAlign w:val="bottom"/>
          </w:tcPr>
          <w:p w:rsidR="000F0C30" w:rsidRPr="000F0C30" w:rsidRDefault="000F0C30" w:rsidP="000F0C30">
            <w:pPr>
              <w:rPr>
                <w:sz w:val="16"/>
                <w:szCs w:val="16"/>
              </w:rPr>
            </w:pPr>
            <w:r w:rsidRPr="000F0C30">
              <w:rPr>
                <w:sz w:val="16"/>
                <w:szCs w:val="16"/>
              </w:rPr>
              <w:t>La instal·lació i el manteniment dels equips amb refrigerant de la classe A2L, requereix algunes eines especials per evitar eventuals situacions d'inflamació dels mateixos, amb la conseqüència d'explosions i generació de productes tòxics. Seguidament, es mencionen alguns d'aquests equips que necessita l'empresa instal·ladora per desenvolupar la seva activitat:</w:t>
            </w:r>
          </w:p>
          <w:p w:rsidR="000F0C30" w:rsidRPr="000F0C30" w:rsidRDefault="000F0C30" w:rsidP="000F0C30">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0F0C30" w:rsidRPr="000F0C30" w:rsidRDefault="000F0C30" w:rsidP="000F0C30">
            <w:pPr>
              <w:rPr>
                <w:sz w:val="16"/>
                <w:szCs w:val="16"/>
              </w:rPr>
            </w:pPr>
            <w:r w:rsidRPr="000F0C30">
              <w:rPr>
                <w:sz w:val="16"/>
                <w:szCs w:val="16"/>
              </w:rPr>
              <w:t>1) Bombes de buit. Han de ser adequades per A2L, poden utilitzar-se bombes modernes amb motor EC sense escombretes, si la bomba s'activa per una font d'alimentació externa i no pel botó d'encès/apagat en la bomba. Amb equips petits si la bomba disposa d'interruptor d'encès/apagat posar-lo en posició d'apagat i endollar-la a una distància mínima de 3m.</w:t>
            </w:r>
          </w:p>
        </w:tc>
        <w:tc>
          <w:tcPr>
            <w:tcW w:w="850"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0F0C30" w:rsidRPr="000F0C30" w:rsidRDefault="000F0C30" w:rsidP="000F0C30">
            <w:pPr>
              <w:rPr>
                <w:sz w:val="16"/>
                <w:szCs w:val="16"/>
              </w:rPr>
            </w:pPr>
            <w:r w:rsidRPr="000F0C30">
              <w:rPr>
                <w:sz w:val="16"/>
                <w:szCs w:val="16"/>
              </w:rPr>
              <w:t>2) Les màquines de recuperació estàndard no poden recuperar de forma segura refrigerants inflamables, i, per tant, no s'han d'utilitzar, doncs hi ha vàries fonts d'ignició. Cal emprar les màquines d'ignició correctes.</w:t>
            </w:r>
          </w:p>
        </w:tc>
        <w:tc>
          <w:tcPr>
            <w:tcW w:w="850"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0F0C30" w:rsidRPr="000F0C30" w:rsidRDefault="000F0C30" w:rsidP="000F0C30">
            <w:pPr>
              <w:rPr>
                <w:sz w:val="16"/>
                <w:szCs w:val="16"/>
              </w:rPr>
            </w:pPr>
            <w:r w:rsidRPr="000F0C30">
              <w:rPr>
                <w:sz w:val="16"/>
                <w:szCs w:val="16"/>
              </w:rPr>
              <w:t xml:space="preserve">3) Detectors de fuites. La majoria dels detectors de fuites electrònics utilitzats per la detecció de fuites de HFC i HCFC, no són segurs o suficientment sensibles pel seu ús amb refrigerants inflamables, per això cal utilitzar detectors electrònics específics per gasos inflamables (o un </w:t>
            </w:r>
            <w:proofErr w:type="spellStart"/>
            <w:r w:rsidRPr="000F0C30">
              <w:rPr>
                <w:sz w:val="16"/>
                <w:szCs w:val="16"/>
              </w:rPr>
              <w:t>spray</w:t>
            </w:r>
            <w:proofErr w:type="spellEnd"/>
            <w:r w:rsidRPr="000F0C30">
              <w:rPr>
                <w:sz w:val="16"/>
                <w:szCs w:val="16"/>
              </w:rPr>
              <w:t xml:space="preserve"> detector de fuites). Els operaris han de portar sempre a sobre un detector portàtil.</w:t>
            </w:r>
          </w:p>
        </w:tc>
        <w:tc>
          <w:tcPr>
            <w:tcW w:w="850"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0F0C30" w:rsidRPr="000F0C30" w:rsidRDefault="000F0C30" w:rsidP="000F0C30">
            <w:pPr>
              <w:rPr>
                <w:sz w:val="16"/>
                <w:szCs w:val="16"/>
              </w:rPr>
            </w:pPr>
            <w:r w:rsidRPr="000F0C30">
              <w:rPr>
                <w:sz w:val="16"/>
                <w:szCs w:val="16"/>
              </w:rPr>
              <w:t>f) Per emplaçament d’ampolles de refrigerants</w:t>
            </w:r>
            <w:r w:rsidR="001036A3">
              <w:rPr>
                <w:sz w:val="16"/>
                <w:szCs w:val="16"/>
              </w:rPr>
              <w:t xml:space="preserve"> (no)</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vAlign w:val="bottom"/>
          </w:tcPr>
          <w:p w:rsidR="000F0C30" w:rsidRPr="000F0C30" w:rsidRDefault="000F0C30" w:rsidP="000F0C30">
            <w:pPr>
              <w:rPr>
                <w:sz w:val="16"/>
                <w:szCs w:val="16"/>
              </w:rPr>
            </w:pPr>
            <w:r w:rsidRPr="000F0C30">
              <w:rPr>
                <w:sz w:val="16"/>
                <w:szCs w:val="16"/>
              </w:rPr>
              <w:t>Les ampolles de refrigerant s'han d’emmagatzemar en un emplaçament específic, tancat, ventilat i no situat en un soterrani. Si com a conseqüència de l'anàlisi obligatòria de riscos del local es determina que la concentració de refrigerant, en cas de fuga del contenidor de més càrrega, és superior al límit pràctic admès indicat a la taula A de l'apèndix 1 de la IF-02, és necessari col·locar un detector de fugues per al refrigerant en qüestió</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0F0C30" w:rsidRPr="000F0C30" w:rsidRDefault="000F0C30" w:rsidP="000F0C30">
            <w:pPr>
              <w:rPr>
                <w:sz w:val="16"/>
                <w:szCs w:val="16"/>
              </w:rPr>
            </w:pPr>
            <w:r w:rsidRPr="000F0C30">
              <w:rPr>
                <w:sz w:val="16"/>
                <w:szCs w:val="16"/>
              </w:rPr>
              <w:t>PROCEDIMENTS</w:t>
            </w:r>
            <w:r w:rsidR="001036A3">
              <w:rPr>
                <w:sz w:val="16"/>
                <w:szCs w:val="16"/>
              </w:rPr>
              <w:t xml:space="preserve"> (solo si </w:t>
            </w:r>
            <w:proofErr w:type="spellStart"/>
            <w:r w:rsidR="001036A3">
              <w:rPr>
                <w:sz w:val="16"/>
                <w:szCs w:val="16"/>
              </w:rPr>
              <w:t>hay</w:t>
            </w:r>
            <w:proofErr w:type="spellEnd"/>
            <w:r w:rsidR="001036A3">
              <w:rPr>
                <w:sz w:val="16"/>
                <w:szCs w:val="16"/>
              </w:rPr>
              <w:t xml:space="preserve"> soldadores)</w:t>
            </w:r>
            <w:bookmarkStart w:id="0" w:name="_GoBack"/>
            <w:bookmarkEnd w:id="0"/>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numPr>
                <w:ilvl w:val="0"/>
                <w:numId w:val="4"/>
              </w:numPr>
              <w:rPr>
                <w:sz w:val="16"/>
                <w:szCs w:val="16"/>
              </w:rPr>
            </w:pPr>
            <w:r w:rsidRPr="000F0C30">
              <w:rPr>
                <w:sz w:val="16"/>
                <w:szCs w:val="16"/>
              </w:rPr>
              <w:t>Procediments de soldadura certificats per un organisme de control acreditats per ENAC si es treballa amb unions permanents.</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numPr>
                <w:ilvl w:val="0"/>
                <w:numId w:val="7"/>
              </w:numPr>
              <w:rPr>
                <w:sz w:val="16"/>
                <w:szCs w:val="16"/>
              </w:rPr>
            </w:pPr>
            <w:r w:rsidRPr="000F0C30">
              <w:rPr>
                <w:sz w:val="16"/>
                <w:szCs w:val="16"/>
              </w:rPr>
              <w:t>Pla de gestió de residus que considera la diversitat dels residus que pugui generar l’activitat i les previsions i acords per a la seva correcta gestió ambiental, i que, si s’escau, preveurà la inscripció com a productor de residus perillosos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numPr>
                <w:ilvl w:val="0"/>
                <w:numId w:val="7"/>
              </w:numPr>
              <w:rPr>
                <w:sz w:val="16"/>
                <w:szCs w:val="16"/>
              </w:rPr>
            </w:pPr>
            <w:r w:rsidRPr="000F0C30">
              <w:rPr>
                <w:sz w:val="16"/>
                <w:szCs w:val="16"/>
              </w:rPr>
              <w:t>Estudi de minimització de residus especials.</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numPr>
                <w:ilvl w:val="0"/>
                <w:numId w:val="7"/>
              </w:numPr>
              <w:rPr>
                <w:sz w:val="16"/>
                <w:szCs w:val="16"/>
              </w:rPr>
            </w:pPr>
            <w:r w:rsidRPr="000F0C30">
              <w:rPr>
                <w:sz w:val="16"/>
                <w:szCs w:val="16"/>
              </w:rPr>
              <w:t>Concert o contracte de gestió de residus amb mitjans propis o amb una empresa externa.</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bl>
    <w:p w:rsidR="000F0C30" w:rsidRPr="000F0C30" w:rsidRDefault="000F0C30" w:rsidP="000F0C30">
      <w:pPr>
        <w:rPr>
          <w:sz w:val="16"/>
          <w:szCs w:val="16"/>
        </w:rPr>
      </w:pPr>
      <w:r w:rsidRPr="000F0C30">
        <w:rPr>
          <w:sz w:val="16"/>
          <w:szCs w:val="16"/>
        </w:rPr>
        <w:t>** Exigibles si escau segons RD 552/2019.</w:t>
      </w:r>
    </w:p>
    <w:p w:rsidR="005F0BB8" w:rsidRPr="000F0C30" w:rsidRDefault="005F0BB8" w:rsidP="000F0C30">
      <w:pPr>
        <w:rPr>
          <w:sz w:val="16"/>
          <w:szCs w:val="16"/>
        </w:rPr>
      </w:pPr>
    </w:p>
    <w:sectPr w:rsidR="005F0BB8" w:rsidRPr="000F0C3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BB8" w:rsidRDefault="005F0BB8" w:rsidP="005F0BB8">
      <w:r>
        <w:separator/>
      </w:r>
    </w:p>
  </w:endnote>
  <w:endnote w:type="continuationSeparator" w:id="0">
    <w:p w:rsidR="005F0BB8" w:rsidRDefault="005F0BB8" w:rsidP="005F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auto"/>
    <w:pitch w:val="variable"/>
    <w:sig w:usb0="00000003" w:usb1="00000000" w:usb2="00000000" w:usb3="00000000" w:csb0="00000001" w:csb1="00000000"/>
  </w:font>
  <w:font w:name="Helvetica*">
    <w:altName w:val="MV Bol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B8" w:rsidRPr="00CA228D" w:rsidRDefault="005F0BB8" w:rsidP="005F0BB8">
    <w:pPr>
      <w:pStyle w:val="Piedepgina"/>
      <w:rPr>
        <w:sz w:val="16"/>
        <w:szCs w:val="16"/>
      </w:rPr>
    </w:pPr>
    <w:r w:rsidRPr="00CA228D">
      <w:rPr>
        <w:sz w:val="16"/>
        <w:szCs w:val="16"/>
      </w:rPr>
      <w:t>Districte Administratiu</w:t>
    </w:r>
  </w:p>
  <w:p w:rsidR="005F0BB8" w:rsidRPr="00CA228D" w:rsidRDefault="005F0BB8" w:rsidP="005F0BB8">
    <w:pPr>
      <w:pStyle w:val="Piedepgina"/>
      <w:rPr>
        <w:sz w:val="16"/>
        <w:szCs w:val="16"/>
      </w:rPr>
    </w:pPr>
    <w:r w:rsidRPr="00CA228D">
      <w:rPr>
        <w:sz w:val="16"/>
        <w:szCs w:val="16"/>
      </w:rPr>
      <w:t>Carrer de l’Urani 8</w:t>
    </w:r>
  </w:p>
  <w:p w:rsidR="005F0BB8" w:rsidRPr="00CA228D" w:rsidRDefault="005F0BB8" w:rsidP="005F0BB8">
    <w:pPr>
      <w:pStyle w:val="Piedepgina"/>
      <w:rPr>
        <w:sz w:val="16"/>
        <w:szCs w:val="16"/>
      </w:rPr>
    </w:pPr>
    <w:r w:rsidRPr="00CA228D">
      <w:rPr>
        <w:sz w:val="16"/>
        <w:szCs w:val="16"/>
      </w:rPr>
      <w:t>Barcelona 08038</w:t>
    </w:r>
  </w:p>
  <w:p w:rsidR="005F0BB8" w:rsidRDefault="005F0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BB8" w:rsidRDefault="005F0BB8" w:rsidP="005F0BB8">
      <w:r>
        <w:separator/>
      </w:r>
    </w:p>
  </w:footnote>
  <w:footnote w:type="continuationSeparator" w:id="0">
    <w:p w:rsidR="005F0BB8" w:rsidRDefault="005F0BB8" w:rsidP="005F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B8" w:rsidRPr="006613FB" w:rsidRDefault="005F0BB8" w:rsidP="005F0BB8">
    <w:pPr>
      <w:suppressAutoHyphens/>
      <w:spacing w:line="240" w:lineRule="exact"/>
      <w:jc w:val="both"/>
      <w:rPr>
        <w:rFonts w:ascii="Helvetica Light*" w:hAnsi="Helvetica Light*"/>
        <w:sz w:val="24"/>
      </w:rPr>
    </w:pPr>
    <w:r w:rsidRPr="006613FB">
      <w:rPr>
        <w:noProof/>
        <w:lang w:val="es-ES"/>
      </w:rPr>
      <w:drawing>
        <wp:anchor distT="0" distB="0" distL="114300" distR="114300" simplePos="0" relativeHeight="251659264" behindDoc="0" locked="0" layoutInCell="0" allowOverlap="1">
          <wp:simplePos x="0" y="0"/>
          <wp:positionH relativeFrom="page">
            <wp:posOffset>915035</wp:posOffset>
          </wp:positionH>
          <wp:positionV relativeFrom="page">
            <wp:posOffset>458470</wp:posOffset>
          </wp:positionV>
          <wp:extent cx="257175" cy="295275"/>
          <wp:effectExtent l="0" t="0" r="9525" b="9525"/>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pic:spPr>
              </pic:pic>
            </a:graphicData>
          </a:graphic>
          <wp14:sizeRelH relativeFrom="page">
            <wp14:pctWidth>0</wp14:pctWidth>
          </wp14:sizeRelH>
          <wp14:sizeRelV relativeFrom="page">
            <wp14:pctHeight>0</wp14:pctHeight>
          </wp14:sizeRelV>
        </wp:anchor>
      </w:drawing>
    </w:r>
    <w:r w:rsidRPr="006613FB">
      <w:rPr>
        <w:rFonts w:ascii="Helvetica Light*" w:hAnsi="Helvetica Light*"/>
        <w:sz w:val="24"/>
      </w:rPr>
      <w:t xml:space="preserve"> Generalitat de Catalunya</w:t>
    </w:r>
  </w:p>
  <w:p w:rsidR="005F0BB8" w:rsidRPr="006613FB" w:rsidRDefault="005F0BB8" w:rsidP="005F0BB8">
    <w:pPr>
      <w:suppressAutoHyphens/>
      <w:spacing w:line="240" w:lineRule="exact"/>
      <w:jc w:val="both"/>
      <w:rPr>
        <w:rFonts w:ascii="Helvetica Light*" w:hAnsi="Helvetica Light*"/>
        <w:spacing w:val="-3"/>
        <w:sz w:val="24"/>
      </w:rPr>
    </w:pPr>
    <w:r>
      <w:rPr>
        <w:rFonts w:ascii="Helvetica Light*" w:hAnsi="Helvetica Light*"/>
        <w:spacing w:val="-3"/>
        <w:sz w:val="24"/>
      </w:rPr>
      <w:t xml:space="preserve"> Dep</w:t>
    </w:r>
    <w:r w:rsidRPr="006613FB">
      <w:rPr>
        <w:rFonts w:ascii="Helvetica Light*" w:hAnsi="Helvetica Light*"/>
        <w:spacing w:val="-3"/>
        <w:sz w:val="24"/>
      </w:rPr>
      <w:t>artament d’Empresa i Coneixement</w:t>
    </w:r>
  </w:p>
  <w:p w:rsidR="005F0BB8" w:rsidRPr="006613FB" w:rsidRDefault="005F0BB8" w:rsidP="005F0BB8">
    <w:pPr>
      <w:suppressAutoHyphens/>
      <w:spacing w:line="240" w:lineRule="exact"/>
      <w:jc w:val="both"/>
      <w:rPr>
        <w:rFonts w:cs="Arial"/>
        <w:b/>
        <w:spacing w:val="-3"/>
        <w:sz w:val="24"/>
      </w:rPr>
    </w:pPr>
    <w:r>
      <w:rPr>
        <w:rFonts w:cs="Arial"/>
        <w:b/>
        <w:spacing w:val="-3"/>
        <w:sz w:val="24"/>
      </w:rPr>
      <w:t xml:space="preserve"> </w:t>
    </w:r>
    <w:r w:rsidRPr="006613FB">
      <w:rPr>
        <w:rFonts w:cs="Arial"/>
        <w:b/>
        <w:spacing w:val="-3"/>
        <w:sz w:val="24"/>
      </w:rPr>
      <w:t xml:space="preserve">Direcció General d’Energia, Seguretat Industrial </w:t>
    </w:r>
  </w:p>
  <w:p w:rsidR="005F0BB8" w:rsidRPr="006613FB" w:rsidRDefault="005F0BB8" w:rsidP="005F0BB8">
    <w:pPr>
      <w:suppressAutoHyphens/>
      <w:spacing w:line="240" w:lineRule="exact"/>
      <w:jc w:val="both"/>
      <w:rPr>
        <w:rFonts w:ascii="Helvetica*" w:hAnsi="Helvetica*"/>
        <w:b/>
        <w:i/>
        <w:spacing w:val="-3"/>
        <w:sz w:val="24"/>
      </w:rPr>
    </w:pPr>
    <w:r w:rsidRPr="006613FB">
      <w:rPr>
        <w:rFonts w:cs="Arial"/>
        <w:b/>
        <w:spacing w:val="-3"/>
        <w:sz w:val="24"/>
      </w:rPr>
      <w:t xml:space="preserve">      i Seguretat Minera</w:t>
    </w:r>
  </w:p>
  <w:p w:rsidR="005F0BB8" w:rsidRPr="006613FB" w:rsidRDefault="005F0BB8" w:rsidP="005F0BB8">
    <w:pPr>
      <w:suppressAutoHyphens/>
      <w:spacing w:line="240" w:lineRule="exact"/>
      <w:jc w:val="both"/>
      <w:rPr>
        <w:rFonts w:ascii="Helvetica Light*" w:hAnsi="Helvetica Light*"/>
        <w:bCs/>
        <w:spacing w:val="-3"/>
        <w:sz w:val="16"/>
      </w:rPr>
    </w:pPr>
    <w:r w:rsidRPr="006613FB">
      <w:rPr>
        <w:rFonts w:ascii="Helvetica Light*" w:hAnsi="Helvetica Light*"/>
        <w:bCs/>
        <w:spacing w:val="-3"/>
        <w:sz w:val="16"/>
      </w:rPr>
      <w:t xml:space="preserve">          </w:t>
    </w:r>
    <w:proofErr w:type="spellStart"/>
    <w:r w:rsidRPr="006613FB">
      <w:rPr>
        <w:rFonts w:ascii="Helvetica Light*" w:hAnsi="Helvetica Light*"/>
        <w:bCs/>
        <w:spacing w:val="-3"/>
        <w:sz w:val="16"/>
      </w:rPr>
      <w:t>Sub</w:t>
    </w:r>
    <w:proofErr w:type="spellEnd"/>
    <w:r w:rsidRPr="006613FB">
      <w:rPr>
        <w:rFonts w:ascii="Helvetica Light*" w:hAnsi="Helvetica Light*"/>
        <w:bCs/>
        <w:spacing w:val="-3"/>
        <w:sz w:val="16"/>
      </w:rPr>
      <w:t>-direcció General de Seguretat Industrial</w:t>
    </w:r>
  </w:p>
  <w:p w:rsidR="005F0BB8" w:rsidRPr="006613FB" w:rsidRDefault="005F0BB8" w:rsidP="005F0BB8">
    <w:pPr>
      <w:suppressAutoHyphens/>
      <w:spacing w:line="240" w:lineRule="exact"/>
      <w:jc w:val="both"/>
      <w:rPr>
        <w:rFonts w:ascii="Helvetica Light*" w:hAnsi="Helvetica Light*"/>
        <w:spacing w:val="-3"/>
        <w:sz w:val="24"/>
      </w:rPr>
    </w:pPr>
    <w:r w:rsidRPr="006613FB">
      <w:rPr>
        <w:rFonts w:ascii="Helvetica Light*" w:hAnsi="Helvetica Light*"/>
        <w:bCs/>
        <w:spacing w:val="-3"/>
        <w:sz w:val="16"/>
      </w:rPr>
      <w:t xml:space="preserve">          Àrea de Gestió i Control del Sistema de Seguretat Industrial</w:t>
    </w:r>
  </w:p>
  <w:p w:rsidR="005F0BB8" w:rsidRPr="006613FB" w:rsidRDefault="005F0BB8" w:rsidP="005F0BB8">
    <w:pPr>
      <w:suppressAutoHyphens/>
      <w:spacing w:line="240" w:lineRule="exact"/>
      <w:jc w:val="both"/>
      <w:rPr>
        <w:i/>
        <w:spacing w:val="-3"/>
        <w:sz w:val="24"/>
      </w:rPr>
    </w:pPr>
  </w:p>
  <w:p w:rsidR="005F0BB8" w:rsidRDefault="005F0BB8">
    <w:pPr>
      <w:pStyle w:val="Encabezado"/>
    </w:pPr>
  </w:p>
  <w:p w:rsidR="005F0BB8" w:rsidRDefault="005F0B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16587"/>
    <w:multiLevelType w:val="hybridMultilevel"/>
    <w:tmpl w:val="CCE4D432"/>
    <w:lvl w:ilvl="0" w:tplc="1E66AD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24A0D2C"/>
    <w:multiLevelType w:val="hybridMultilevel"/>
    <w:tmpl w:val="0A78E1BE"/>
    <w:lvl w:ilvl="0" w:tplc="66D675D8">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62061E2"/>
    <w:multiLevelType w:val="hybridMultilevel"/>
    <w:tmpl w:val="8D662282"/>
    <w:lvl w:ilvl="0" w:tplc="EBF01ECA">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52624E1"/>
    <w:multiLevelType w:val="hybridMultilevel"/>
    <w:tmpl w:val="63147A72"/>
    <w:lvl w:ilvl="0" w:tplc="1E66AD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E354064"/>
    <w:multiLevelType w:val="hybridMultilevel"/>
    <w:tmpl w:val="361ADE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70843782"/>
    <w:multiLevelType w:val="hybridMultilevel"/>
    <w:tmpl w:val="14402628"/>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772B70FA"/>
    <w:multiLevelType w:val="hybridMultilevel"/>
    <w:tmpl w:val="779628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02"/>
    <w:rsid w:val="00070912"/>
    <w:rsid w:val="000F0C30"/>
    <w:rsid w:val="001036A3"/>
    <w:rsid w:val="00151E6C"/>
    <w:rsid w:val="004E0C3B"/>
    <w:rsid w:val="00563C02"/>
    <w:rsid w:val="005F0BB8"/>
    <w:rsid w:val="00713CB3"/>
    <w:rsid w:val="00C01AAE"/>
    <w:rsid w:val="00CA228D"/>
    <w:rsid w:val="00DA6750"/>
    <w:rsid w:val="00E7031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C457D3"/>
  <w15:chartTrackingRefBased/>
  <w15:docId w15:val="{00059418-3C0A-46E9-A480-84D3D2E5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B8"/>
    <w:pPr>
      <w:spacing w:after="0" w:line="240" w:lineRule="auto"/>
    </w:pPr>
    <w:rPr>
      <w:rFonts w:ascii="Arial" w:eastAsia="Times New Roman" w:hAnsi="Arial"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0BB8"/>
    <w:pPr>
      <w:spacing w:after="200" w:line="276" w:lineRule="auto"/>
      <w:ind w:left="720"/>
      <w:contextualSpacing/>
    </w:pPr>
    <w:rPr>
      <w:rFonts w:ascii="Calibri" w:eastAsia="Calibri" w:hAnsi="Calibri"/>
      <w:szCs w:val="22"/>
      <w:lang w:eastAsia="en-US"/>
    </w:rPr>
  </w:style>
  <w:style w:type="character" w:styleId="Hipervnculo">
    <w:name w:val="Hyperlink"/>
    <w:uiPriority w:val="99"/>
    <w:unhideWhenUsed/>
    <w:rsid w:val="005F0BB8"/>
    <w:rPr>
      <w:color w:val="0000FF"/>
      <w:u w:val="single"/>
    </w:rPr>
  </w:style>
  <w:style w:type="paragraph" w:styleId="Encabezado">
    <w:name w:val="header"/>
    <w:basedOn w:val="Normal"/>
    <w:link w:val="EncabezadoCar"/>
    <w:uiPriority w:val="99"/>
    <w:unhideWhenUsed/>
    <w:rsid w:val="005F0BB8"/>
    <w:pPr>
      <w:tabs>
        <w:tab w:val="center" w:pos="4252"/>
        <w:tab w:val="right" w:pos="8504"/>
      </w:tabs>
    </w:pPr>
  </w:style>
  <w:style w:type="character" w:customStyle="1" w:styleId="EncabezadoCar">
    <w:name w:val="Encabezado Car"/>
    <w:basedOn w:val="Fuentedeprrafopredeter"/>
    <w:link w:val="Encabezado"/>
    <w:uiPriority w:val="99"/>
    <w:rsid w:val="005F0BB8"/>
    <w:rPr>
      <w:rFonts w:ascii="Arial" w:eastAsia="Times New Roman" w:hAnsi="Arial" w:cs="Times New Roman"/>
      <w:szCs w:val="20"/>
      <w:lang w:eastAsia="es-ES"/>
    </w:rPr>
  </w:style>
  <w:style w:type="paragraph" w:styleId="Piedepgina">
    <w:name w:val="footer"/>
    <w:basedOn w:val="Normal"/>
    <w:link w:val="PiedepginaCar"/>
    <w:uiPriority w:val="99"/>
    <w:unhideWhenUsed/>
    <w:rsid w:val="005F0BB8"/>
    <w:pPr>
      <w:tabs>
        <w:tab w:val="center" w:pos="4252"/>
        <w:tab w:val="right" w:pos="8504"/>
      </w:tabs>
    </w:pPr>
  </w:style>
  <w:style w:type="character" w:customStyle="1" w:styleId="PiedepginaCar">
    <w:name w:val="Pie de página Car"/>
    <w:basedOn w:val="Fuentedeprrafopredeter"/>
    <w:link w:val="Piedepgina"/>
    <w:uiPriority w:val="99"/>
    <w:rsid w:val="005F0BB8"/>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730</Words>
  <Characters>4016</Characters>
  <Application>Microsoft Office Word</Application>
  <DocSecurity>0</DocSecurity>
  <Lines>33</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Subirats Parreu, Josep</dc:creator>
  <cp:keywords/>
  <dc:description/>
  <cp:lastModifiedBy>Isabel Mendoza</cp:lastModifiedBy>
  <cp:revision>3</cp:revision>
  <dcterms:created xsi:type="dcterms:W3CDTF">2020-10-28T13:49:00Z</dcterms:created>
  <dcterms:modified xsi:type="dcterms:W3CDTF">2020-11-03T10:48:00Z</dcterms:modified>
</cp:coreProperties>
</file>